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9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333"/>
        <w:gridCol w:w="1094"/>
        <w:gridCol w:w="1221"/>
        <w:gridCol w:w="1244"/>
        <w:gridCol w:w="1293"/>
        <w:gridCol w:w="1259"/>
      </w:tblGrid>
      <w:tr w:rsidR="003364EC" w:rsidRPr="003364EC" w:rsidTr="003364EC">
        <w:tc>
          <w:tcPr>
            <w:tcW w:w="1127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>Thema</w:t>
            </w:r>
          </w:p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>Projekt</w:t>
            </w:r>
          </w:p>
        </w:tc>
        <w:tc>
          <w:tcPr>
            <w:tcW w:w="1271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>Drittmittel-geber</w:t>
            </w:r>
          </w:p>
        </w:tc>
        <w:tc>
          <w:tcPr>
            <w:tcW w:w="1056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>Förder-zeitraum</w:t>
            </w:r>
          </w:p>
        </w:tc>
        <w:tc>
          <w:tcPr>
            <w:tcW w:w="1221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>€</w:t>
            </w:r>
          </w:p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>Gesamt</w:t>
            </w:r>
          </w:p>
        </w:tc>
        <w:tc>
          <w:tcPr>
            <w:tcW w:w="1244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 xml:space="preserve">Davon </w:t>
            </w:r>
          </w:p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>Personal</w:t>
            </w:r>
          </w:p>
        </w:tc>
        <w:tc>
          <w:tcPr>
            <w:tcW w:w="1293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>Davon</w:t>
            </w:r>
          </w:p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>Sachmittel</w:t>
            </w:r>
          </w:p>
        </w:tc>
        <w:tc>
          <w:tcPr>
            <w:tcW w:w="1259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>Davon</w:t>
            </w:r>
          </w:p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4EC">
              <w:rPr>
                <w:rFonts w:ascii="Myriad Pro" w:hAnsi="Myriad Pro" w:cs="Tahoma"/>
                <w:b/>
                <w:sz w:val="22"/>
                <w:szCs w:val="22"/>
              </w:rPr>
              <w:t>Investive Mittel</w:t>
            </w:r>
          </w:p>
        </w:tc>
      </w:tr>
      <w:tr w:rsidR="003364EC" w:rsidRPr="003364EC" w:rsidTr="003364EC">
        <w:tc>
          <w:tcPr>
            <w:tcW w:w="1127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sz w:val="22"/>
                <w:szCs w:val="22"/>
              </w:rPr>
            </w:pPr>
          </w:p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sz w:val="22"/>
                <w:szCs w:val="22"/>
              </w:rPr>
            </w:pPr>
          </w:p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3364EC" w:rsidRPr="003364EC" w:rsidRDefault="003364EC" w:rsidP="003364EC">
            <w:pPr>
              <w:spacing w:line="360" w:lineRule="auto"/>
              <w:rPr>
                <w:rFonts w:ascii="Myriad Pro" w:hAnsi="Myriad Pro" w:cs="Tahoma"/>
                <w:sz w:val="22"/>
                <w:szCs w:val="22"/>
              </w:rPr>
            </w:pPr>
          </w:p>
        </w:tc>
      </w:tr>
    </w:tbl>
    <w:p w:rsidR="006E46C2" w:rsidRPr="003364EC" w:rsidRDefault="003364EC" w:rsidP="003364EC">
      <w:pPr>
        <w:jc w:val="center"/>
        <w:rPr>
          <w:rFonts w:ascii="Myriad Pro" w:hAnsi="Myriad Pro"/>
          <w:b/>
          <w:sz w:val="28"/>
          <w:szCs w:val="28"/>
        </w:rPr>
      </w:pPr>
      <w:r w:rsidRPr="003364EC">
        <w:rPr>
          <w:rFonts w:ascii="Myriad Pro" w:hAnsi="Myriad Pro"/>
          <w:b/>
          <w:sz w:val="28"/>
          <w:szCs w:val="28"/>
        </w:rPr>
        <w:t>Aufstellung der Drittmi</w:t>
      </w:r>
      <w:bookmarkStart w:id="0" w:name="_GoBack"/>
      <w:bookmarkEnd w:id="0"/>
      <w:r w:rsidRPr="003364EC">
        <w:rPr>
          <w:rFonts w:ascii="Myriad Pro" w:hAnsi="Myriad Pro"/>
          <w:b/>
          <w:sz w:val="28"/>
          <w:szCs w:val="28"/>
        </w:rPr>
        <w:t>ttelförderung (in T€)</w:t>
      </w:r>
    </w:p>
    <w:sectPr w:rsidR="006E46C2" w:rsidRPr="003364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EC"/>
    <w:rsid w:val="003364EC"/>
    <w:rsid w:val="006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AD78"/>
  <w15:chartTrackingRefBased/>
  <w15:docId w15:val="{5E093E96-CEE4-49B7-BFC7-2666BA75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6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BADD588</Template>
  <TotalTime>0</TotalTime>
  <Pages>1</Pages>
  <Words>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Universit?t zu L?beck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Rosenfeld</dc:creator>
  <cp:keywords/>
  <dc:description/>
  <cp:lastModifiedBy>Petra Rosenfeld</cp:lastModifiedBy>
  <cp:revision>1</cp:revision>
  <dcterms:created xsi:type="dcterms:W3CDTF">2018-02-22T13:38:00Z</dcterms:created>
  <dcterms:modified xsi:type="dcterms:W3CDTF">2018-02-22T13:41:00Z</dcterms:modified>
</cp:coreProperties>
</file>